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26C0D" w:rsidR="00426C0D" w:rsidP="00426C0D" w:rsidRDefault="00426C0D" w14:paraId="320B2AD5" w14:textId="03A871A1">
      <w:pPr>
        <w:pStyle w:val="Corpodetexto"/>
        <w:spacing w:before="1"/>
        <w:jc w:val="center"/>
        <w:rPr>
          <w:b/>
          <w:sz w:val="36"/>
        </w:rPr>
      </w:pPr>
      <w:bookmarkStart w:name="_Hlk209166165" w:id="0"/>
      <w:r>
        <w:rPr>
          <w:b/>
          <w:sz w:val="36"/>
        </w:rPr>
        <w:t>Grupo</w:t>
      </w:r>
      <w:r w:rsidR="00622C44">
        <w:rPr>
          <w:b/>
          <w:sz w:val="36"/>
        </w:rPr>
        <w:t xml:space="preserve"> </w:t>
      </w:r>
      <w:r w:rsidRPr="00426C0D">
        <w:rPr>
          <w:b/>
          <w:bCs/>
          <w:sz w:val="36"/>
        </w:rPr>
        <w:t xml:space="preserve">Casais </w:t>
      </w:r>
      <w:r w:rsidR="0079673A">
        <w:rPr>
          <w:b/>
          <w:bCs/>
          <w:sz w:val="36"/>
        </w:rPr>
        <w:t>aponta o Build to Rent e a Construção Industrializada como as respostas estruturais para a crise habitacional em Portugal</w:t>
      </w:r>
    </w:p>
    <w:p w:rsidR="00EB4503" w:rsidP="00EB4503" w:rsidRDefault="00EB4503" w14:paraId="6B30D222" w14:textId="7176E905">
      <w:pPr>
        <w:pStyle w:val="Corpodetexto"/>
        <w:spacing w:before="1"/>
        <w:ind w:left="0"/>
        <w:jc w:val="center"/>
        <w:rPr>
          <w:b/>
          <w:sz w:val="36"/>
        </w:rPr>
      </w:pPr>
    </w:p>
    <w:bookmarkEnd w:id="0"/>
    <w:p w:rsidR="00426C0D" w:rsidP="00F2056E" w:rsidRDefault="00000000" w14:paraId="107132CA" w14:textId="09650DBA">
      <w:pPr>
        <w:spacing w:before="199" w:line="276" w:lineRule="auto"/>
        <w:ind w:left="23" w:right="17"/>
        <w:jc w:val="both"/>
      </w:pPr>
      <w:r w:rsidRPr="50144137" w:rsidR="00000000">
        <w:rPr>
          <w:b w:val="1"/>
          <w:bCs w:val="1"/>
        </w:rPr>
        <w:t>Braga,</w:t>
      </w:r>
      <w:r w:rsidRPr="50144137" w:rsidR="00000000">
        <w:rPr>
          <w:b w:val="1"/>
          <w:bCs w:val="1"/>
          <w:spacing w:val="-13"/>
        </w:rPr>
        <w:t xml:space="preserve"> </w:t>
      </w:r>
      <w:r w:rsidRPr="50144137" w:rsidR="73201CFD">
        <w:rPr>
          <w:b w:val="1"/>
          <w:bCs w:val="1"/>
        </w:rPr>
        <w:t>29</w:t>
      </w:r>
      <w:r w:rsidRPr="50144137" w:rsidR="00000000">
        <w:rPr>
          <w:b w:val="1"/>
          <w:bCs w:val="1"/>
        </w:rPr>
        <w:t xml:space="preserve"> </w:t>
      </w:r>
      <w:r w:rsidRPr="50144137" w:rsidR="00000000">
        <w:rPr>
          <w:b w:val="1"/>
          <w:bCs w:val="1"/>
        </w:rPr>
        <w:t>de</w:t>
      </w:r>
      <w:r w:rsidRPr="50144137" w:rsidR="00000000">
        <w:rPr>
          <w:b w:val="1"/>
          <w:bCs w:val="1"/>
          <w:spacing w:val="-11"/>
        </w:rPr>
        <w:t xml:space="preserve"> </w:t>
      </w:r>
      <w:r w:rsidRPr="50144137" w:rsidR="00D03EC1">
        <w:rPr>
          <w:b w:val="1"/>
          <w:bCs w:val="1"/>
          <w:spacing w:val="-11"/>
        </w:rPr>
        <w:t xml:space="preserve">abril de </w:t>
      </w:r>
      <w:r w:rsidRPr="50144137" w:rsidR="00000000">
        <w:rPr>
          <w:b w:val="1"/>
          <w:bCs w:val="1"/>
        </w:rPr>
        <w:t>202</w:t>
      </w:r>
      <w:r w:rsidRPr="50144137" w:rsidR="0079673A">
        <w:rPr>
          <w:b w:val="1"/>
          <w:bCs w:val="1"/>
        </w:rPr>
        <w:t>6</w:t>
      </w:r>
      <w:r w:rsidRPr="50144137" w:rsidR="00000000">
        <w:rPr>
          <w:b w:val="1"/>
          <w:bCs w:val="1"/>
          <w:spacing w:val="-9"/>
        </w:rPr>
        <w:t xml:space="preserve"> </w:t>
      </w:r>
      <w:r w:rsidR="00000000">
        <w:rPr/>
        <w:t>–</w:t>
      </w:r>
      <w:r w:rsidR="00000000">
        <w:rPr>
          <w:spacing w:val="-12"/>
        </w:rPr>
        <w:t xml:space="preserve"> </w:t>
      </w:r>
      <w:r w:rsidRPr="001958E1" w:rsidR="001958E1">
        <w:rPr/>
        <w:t xml:space="preserve">O </w:t>
      </w:r>
      <w:r w:rsidR="0079673A">
        <w:rPr/>
        <w:t xml:space="preserve">Salão Imobiliário de Portugal (SIL) foi o palco escolhido pelo CEO do Grupo Casais para apelar à urgência de o setor imobiliário passar do discurso à execução na provisão de habitação. Na conferência “</w:t>
      </w:r>
      <w:r w:rsidR="0079673A">
        <w:rPr/>
        <w:t xml:space="preserve">Buil</w:t>
      </w:r>
      <w:r w:rsidR="1B1A98CB">
        <w:rPr/>
        <w:t>d</w:t>
      </w:r>
      <w:r w:rsidR="0079673A">
        <w:rPr/>
        <w:t xml:space="preserve"> to </w:t>
      </w:r>
      <w:r w:rsidR="0079673A">
        <w:rPr/>
        <w:t>Rent</w:t>
      </w:r>
      <w:r w:rsidR="0079673A">
        <w:rPr/>
        <w:t xml:space="preserve">: Da Oportunidade </w:t>
      </w:r>
      <w:r w:rsidR="678ED074">
        <w:rPr/>
        <w:t xml:space="preserve">à </w:t>
      </w:r>
      <w:r w:rsidR="0079673A">
        <w:rPr/>
        <w:t xml:space="preserve">Execução”, inserida na primeira sessão </w:t>
      </w:r>
      <w:r w:rsidR="0079673A">
        <w:rPr/>
        <w:t>Connect</w:t>
      </w:r>
      <w:r w:rsidR="0079673A">
        <w:rPr/>
        <w:t xml:space="preserve"> to </w:t>
      </w:r>
      <w:r w:rsidR="0079673A">
        <w:rPr/>
        <w:t>Build</w:t>
      </w:r>
      <w:r w:rsidR="0079673A">
        <w:rPr/>
        <w:t xml:space="preserve">, António Carlos Rodrigues destacou que o problema da habitação em Portugal é evidente, sendo marcado por uma falta estrutural de oferta face a um crescimento positivo da procura. </w:t>
      </w:r>
    </w:p>
    <w:p w:rsidR="0079673A" w:rsidP="00F2056E" w:rsidRDefault="0079673A" w14:paraId="4B38BF33" w14:textId="223135BD">
      <w:pPr>
        <w:spacing w:before="199" w:line="276" w:lineRule="auto"/>
        <w:ind w:left="23" w:right="17"/>
        <w:jc w:val="both"/>
      </w:pPr>
      <w:r w:rsidR="0079673A">
        <w:rPr/>
        <w:t xml:space="preserve">Numa análise ao mercado imobiliário, o CEO sublinhou que a </w:t>
      </w:r>
      <w:r w:rsidR="0079673A">
        <w:rPr/>
        <w:t xml:space="preserve">atração de capital não é o obstáculo, mas sim a necessidade de promotores que assumam o risco do licenciamento e de entidades que executem as obras. Para o Grupo Casais, a resposta estrutural a esta escassez passa pelo modelo </w:t>
      </w:r>
      <w:r w:rsidR="0079673A">
        <w:rPr/>
        <w:t>Build</w:t>
      </w:r>
      <w:r w:rsidR="0079673A">
        <w:rPr/>
        <w:t xml:space="preserve"> to </w:t>
      </w:r>
      <w:r w:rsidR="0079673A">
        <w:rPr/>
        <w:t>Rent</w:t>
      </w:r>
      <w:r w:rsidR="0079673A">
        <w:rPr/>
        <w:t xml:space="preserve"> – sendo esta nova parceria com a Sonae</w:t>
      </w:r>
      <w:r w:rsidR="58EA584E">
        <w:rPr/>
        <w:t xml:space="preserve"> </w:t>
      </w:r>
      <w:r w:rsidR="58EA584E">
        <w:rPr/>
        <w:t>Sierra</w:t>
      </w:r>
      <w:r w:rsidR="0079673A">
        <w:rPr/>
        <w:t xml:space="preserve"> o primeiro </w:t>
      </w:r>
      <w:r w:rsidR="0079673A">
        <w:rPr/>
        <w:t>Buil</w:t>
      </w:r>
      <w:r w:rsidR="2EBACA8B">
        <w:rPr/>
        <w:t>d</w:t>
      </w:r>
      <w:r w:rsidR="0079673A">
        <w:rPr/>
        <w:t xml:space="preserve"> to </w:t>
      </w:r>
      <w:r w:rsidR="0079673A">
        <w:rPr/>
        <w:t>Rent</w:t>
      </w:r>
      <w:r w:rsidR="0079673A">
        <w:rPr/>
        <w:t xml:space="preserve"> 100% privado</w:t>
      </w:r>
      <w:r w:rsidR="00A745EF">
        <w:rPr/>
        <w:t>, em Portugal</w:t>
      </w:r>
      <w:r w:rsidR="0079673A">
        <w:rPr/>
        <w:t>. Este formato exige uma mudança de paradigma no setor, passando o foco de construir para vender para construir para usar, privilegiando o ciclo de vida e a utilização contínua do edifício.</w:t>
      </w:r>
    </w:p>
    <w:p w:rsidR="0079673A" w:rsidP="00F2056E" w:rsidRDefault="0079673A" w14:paraId="48FE76D6" w14:textId="47EC6C06">
      <w:pPr>
        <w:spacing w:before="199" w:line="276" w:lineRule="auto"/>
        <w:ind w:left="23" w:right="17"/>
        <w:jc w:val="both"/>
        <w:rPr>
          <w:bCs/>
        </w:rPr>
      </w:pPr>
      <w:r>
        <w:rPr>
          <w:bCs/>
        </w:rPr>
        <w:t>António Carlos Rodrigues explicou que o mercado de trabalho atual é muito mais móvel e líquido, o que colide frontalmente com a matriz tradicional portuguesa focada na propriedade, exigindo ao mercado uma nova capacidade de oferecer produto de arrendamento. Adicionalmente, o CEO alertou que a atual legislação se encontra desadequada para este novo modelo focado no uso, impondo regras rígidas, como lugares de estacionamento obrigatórios, que muitas vezes inviabilizam projetos direcionados para residentes que dependem exclusivamente da mobilidade urbana sustentável.</w:t>
      </w:r>
    </w:p>
    <w:p w:rsidR="0079673A" w:rsidP="00F2056E" w:rsidRDefault="00990972" w14:paraId="13EE8636" w14:textId="5C18FA87">
      <w:pPr>
        <w:spacing w:before="199" w:line="276" w:lineRule="auto"/>
        <w:ind w:left="23" w:right="17"/>
        <w:jc w:val="both"/>
        <w:rPr>
          <w:bCs/>
        </w:rPr>
      </w:pPr>
      <w:r>
        <w:rPr>
          <w:bCs/>
        </w:rPr>
        <w:t>Para viabilizar o modelo Build to Rent de uma forma repetida e escalável, António Carlos Rodrigues foi perentório ao afirmar que sem a industrialização da construção, não haverá escala. O setor enfrenta uma crise demográfica severa na sua força de trabalho, visto que os profissionais na faixa dos 54 anos para cima, que representam 34% dos trabalhadores e são considerados os melhores mestres da indústria, irão desaparecer nos próximos 10 anos devido a reformas. Como estes profissionais não estão a ser substituídos na base por camadas mais jovens, torna-se impossível dar resposta às necessidades habitacionais do país utilizando os métodos tradicionais de construção.</w:t>
      </w:r>
    </w:p>
    <w:p w:rsidR="00990972" w:rsidP="00F2056E" w:rsidRDefault="00990972" w14:paraId="2575FC7B" w14:textId="5A573DAA">
      <w:pPr>
        <w:spacing w:before="199" w:line="276" w:lineRule="auto"/>
        <w:ind w:left="23" w:right="17"/>
        <w:jc w:val="both"/>
        <w:rPr>
          <w:bCs/>
        </w:rPr>
      </w:pPr>
      <w:r>
        <w:rPr>
          <w:bCs/>
        </w:rPr>
        <w:t>A construção industrializada surge assim como a solução imperativa, requerendo previsibilidade no mercado para justificar os elevados investimentos em fábricas, mas garantindo, em contrapartida a redução ou antecipação dos prazos de entrega. O planeamento rigoroso exigido na fase de conceção traduz-se também em menos risco e em muito mais qualidade no produto final. Embora o custo atual de uma obra industrializada ainda se equipare ao da construção tradicional, assumindo como parte do investimento do setor</w:t>
      </w:r>
      <w:r w:rsidR="00A745EF">
        <w:rPr>
          <w:bCs/>
        </w:rPr>
        <w:t xml:space="preserve"> – em fábricas, por exemplo - </w:t>
      </w:r>
      <w:r>
        <w:rPr>
          <w:bCs/>
        </w:rPr>
        <w:t>o CEO acr</w:t>
      </w:r>
      <w:r w:rsidR="00A745EF">
        <w:rPr>
          <w:bCs/>
        </w:rPr>
        <w:t>e</w:t>
      </w:r>
      <w:r>
        <w:rPr>
          <w:bCs/>
        </w:rPr>
        <w:t>dita que a massificação trará a tão desejada redução de custos no futuro.</w:t>
      </w:r>
    </w:p>
    <w:p w:rsidRPr="0079673A" w:rsidR="00A745EF" w:rsidP="00A745EF" w:rsidRDefault="00A745EF" w14:paraId="56AEBE71" w14:textId="44821A73">
      <w:pPr>
        <w:spacing w:before="199" w:line="276" w:lineRule="auto"/>
        <w:ind w:left="23" w:right="17"/>
        <w:jc w:val="both"/>
        <w:rPr>
          <w:bCs/>
        </w:rPr>
      </w:pPr>
      <w:r>
        <w:rPr>
          <w:bCs/>
        </w:rPr>
        <w:t xml:space="preserve">A finalizar a sua intervenção, o CEO do Grupo Casais reforçou a importância de criar um ecossistema sólido de parceiros e fornecedores, destacando o lançamento da parceria com a Sonae Sierra, “para alavancar e acelerar o mercado Build to Rent em Portugal”. Num forte apelo à união do setor, António Carlos Rodrigues garantiu que “qualquer entidade que decida investir na industrialização ou no arrendamento profissional, não é vista como uma concorrente, mas sim como uma parceira, pois a criação de escala no mercado é fundamental para que, futuramente, as regras de licenciamento e </w:t>
      </w:r>
      <w:r>
        <w:rPr>
          <w:bCs/>
        </w:rPr>
        <w:lastRenderedPageBreak/>
        <w:t>impostos se adaptem à nova realidade da habitação.”</w:t>
      </w:r>
    </w:p>
    <w:p w:rsidR="007A74A4" w:rsidRDefault="007A74A4" w14:paraId="4CBF5B6A" w14:textId="77777777">
      <w:pPr>
        <w:pStyle w:val="Corpodetexto"/>
        <w:spacing w:before="55"/>
        <w:ind w:left="0"/>
        <w:rPr>
          <w:sz w:val="20"/>
        </w:rPr>
      </w:pPr>
    </w:p>
    <w:p w:rsidR="007A74A4" w:rsidRDefault="007A74A4" w14:paraId="2444D980" w14:textId="77777777">
      <w:pPr>
        <w:pStyle w:val="Corpodetexto"/>
        <w:spacing w:before="55"/>
        <w:ind w:left="0"/>
        <w:rPr>
          <w:sz w:val="20"/>
        </w:rPr>
      </w:pPr>
    </w:p>
    <w:p w:rsidR="007A74A4" w:rsidRDefault="007A74A4" w14:paraId="6872EF57" w14:textId="77777777">
      <w:pPr>
        <w:pStyle w:val="Corpodetexto"/>
        <w:spacing w:before="55"/>
        <w:ind w:left="0"/>
        <w:rPr>
          <w:sz w:val="20"/>
        </w:rPr>
      </w:pPr>
    </w:p>
    <w:p w:rsidR="00757582" w:rsidRDefault="00000000" w14:paraId="6777053B" w14:textId="77777777">
      <w:pPr>
        <w:pStyle w:val="Corpodetexto"/>
        <w:spacing w:before="0" w:line="20" w:lineRule="exact"/>
        <w:rPr>
          <w:sz w:val="2"/>
        </w:rPr>
      </w:pPr>
      <w:r>
        <w:rPr>
          <w:noProof/>
          <w:sz w:val="2"/>
        </w:rPr>
        <mc:AlternateContent>
          <mc:Choice Requires="wpg">
            <w:drawing>
              <wp:inline distT="0" distB="0" distL="0" distR="0" wp14:anchorId="7CEFE3E9" wp14:editId="1A07636C">
                <wp:extent cx="5493385" cy="9525"/>
                <wp:effectExtent l="9525" t="0" r="2539"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3385" cy="9525"/>
                          <a:chOff x="0" y="0"/>
                          <a:chExt cx="5493385" cy="9525"/>
                        </a:xfrm>
                      </wpg:grpSpPr>
                      <wps:wsp>
                        <wps:cNvPr id="3" name="Graphic 3"/>
                        <wps:cNvSpPr/>
                        <wps:spPr>
                          <a:xfrm>
                            <a:off x="0" y="4556"/>
                            <a:ext cx="5493385" cy="1270"/>
                          </a:xfrm>
                          <a:custGeom>
                            <a:avLst/>
                            <a:gdLst/>
                            <a:ahLst/>
                            <a:cxnLst/>
                            <a:rect l="l" t="t" r="r" b="b"/>
                            <a:pathLst>
                              <a:path w="5493385">
                                <a:moveTo>
                                  <a:pt x="0" y="0"/>
                                </a:moveTo>
                                <a:lnTo>
                                  <a:pt x="5493216" y="0"/>
                                </a:lnTo>
                              </a:path>
                            </a:pathLst>
                          </a:custGeom>
                          <a:ln w="91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 style="width:432.55pt;height:.75pt;mso-position-horizontal-relative:char;mso-position-vertical-relative:line" coordsize="54933,95" o:spid="_x0000_s1026" w14:anchorId="0429D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">
                <v:shape id="Graphic 3" style="position:absolute;top:45;width:54933;height:13;visibility:visible;mso-wrap-style:square;v-text-anchor:top" coordsize="5493385,1270" o:spid="_x0000_s1027" filled="f" strokeweight=".25314mm" path="m,l5493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">
                  <v:path arrowok="t"/>
                </v:shape>
                <w10:anchorlock/>
              </v:group>
            </w:pict>
          </mc:Fallback>
        </mc:AlternateContent>
      </w:r>
    </w:p>
    <w:p w:rsidRPr="0079673A" w:rsidR="00757582" w:rsidP="0079673A" w:rsidRDefault="00000000" w14:paraId="5C109AB3" w14:textId="77777777">
      <w:pPr>
        <w:spacing w:before="240"/>
        <w:rPr>
          <w:b/>
          <w:bCs/>
        </w:rPr>
      </w:pPr>
      <w:r w:rsidRPr="0079673A">
        <w:rPr>
          <w:b/>
          <w:bCs/>
        </w:rPr>
        <w:t>Sobre</w:t>
      </w:r>
      <w:r w:rsidRPr="0079673A">
        <w:rPr>
          <w:b/>
          <w:bCs/>
          <w:spacing w:val="-3"/>
        </w:rPr>
        <w:t xml:space="preserve"> </w:t>
      </w:r>
      <w:r w:rsidRPr="0079673A">
        <w:rPr>
          <w:b/>
          <w:bCs/>
        </w:rPr>
        <w:t>o</w:t>
      </w:r>
      <w:r w:rsidRPr="0079673A">
        <w:rPr>
          <w:b/>
          <w:bCs/>
          <w:spacing w:val="-3"/>
        </w:rPr>
        <w:t xml:space="preserve"> </w:t>
      </w:r>
      <w:r w:rsidRPr="0079673A">
        <w:rPr>
          <w:b/>
          <w:bCs/>
        </w:rPr>
        <w:t>Grupo</w:t>
      </w:r>
      <w:r w:rsidRPr="0079673A">
        <w:rPr>
          <w:b/>
          <w:bCs/>
          <w:spacing w:val="-3"/>
        </w:rPr>
        <w:t xml:space="preserve"> </w:t>
      </w:r>
      <w:r w:rsidRPr="0079673A">
        <w:rPr>
          <w:b/>
          <w:bCs/>
          <w:spacing w:val="-2"/>
        </w:rPr>
        <w:t>Casais</w:t>
      </w:r>
    </w:p>
    <w:p w:rsidR="00F2056E" w:rsidP="00F2056E" w:rsidRDefault="00F2056E" w14:paraId="7605CECB" w14:textId="77777777">
      <w:pPr>
        <w:pStyle w:val="Corpodetexto"/>
        <w:spacing w:before="201" w:line="276" w:lineRule="auto"/>
        <w:ind w:right="23"/>
        <w:jc w:val="both"/>
      </w:pPr>
      <w:r>
        <w:t xml:space="preserve">A </w:t>
      </w:r>
      <w:r w:rsidRPr="00F2056E">
        <w:rPr>
          <w:b/>
          <w:bCs/>
        </w:rPr>
        <w:t>Casais</w:t>
      </w:r>
      <w:r>
        <w:t xml:space="preserve"> foi criada a 23 de maio de 1958 e é atualmente um dos cinco principais players do setor da construção em Portugal. Opera em 18 países: Portugal, Angola, Alemanha, Áustria, Arábia Saudita, Bélgica, Brasil, Espanha, EUA (Texas), EAU (Dubai e Abu Dhabi), França, Gana, Gibraltar, Países Baixos, Moçambique, Marrocos, Reino Unido, Qatar. </w:t>
      </w:r>
    </w:p>
    <w:p w:rsidR="00F2056E" w:rsidP="00F2056E" w:rsidRDefault="00F2056E" w14:paraId="57DB2746" w14:textId="77777777">
      <w:pPr>
        <w:pStyle w:val="Corpodetexto"/>
        <w:spacing w:before="201" w:line="276" w:lineRule="auto"/>
        <w:ind w:right="23"/>
        <w:jc w:val="both"/>
      </w:pPr>
      <w:r>
        <w:t>A empresa tem apostado na construção sustentável, com o desenvolvimento de vários projetos de construção híbrida, através do sistema CREE e da implementação de soluções off-site industrializadas. Com foco na inovação, sustentabilidade, desenvolvimento e tecnologia, “Well Built for Well Living” é o posicionamento e compromisso que o grupo assume. ´</w:t>
      </w:r>
    </w:p>
    <w:p w:rsidR="00757582" w:rsidP="00F2056E" w:rsidRDefault="00F2056E" w14:paraId="63269911" w14:textId="0D7E8711">
      <w:pPr>
        <w:pStyle w:val="Corpodetexto"/>
        <w:spacing w:before="201" w:line="276" w:lineRule="auto"/>
        <w:ind w:right="23"/>
        <w:jc w:val="both"/>
      </w:pPr>
      <w:r>
        <w:t>Obteve várias distinções, como o Prémio Construir de Melhor Construtora em Portugal pela 7ª vez, mas também entrou no ranking de 75 Top Global Innovator da Built Worlds. Fechou o ano de 2025 com volume de negócio agregado a rondar os 1018 M€ – 468 M€ internacional, 550 M€ a nível nacional.</w:t>
      </w:r>
    </w:p>
    <w:p w:rsidR="00757582" w:rsidRDefault="00000000" w14:paraId="5ACB1623" w14:textId="77777777">
      <w:pPr>
        <w:pStyle w:val="Ttulo1"/>
        <w:spacing w:before="199"/>
        <w:jc w:val="left"/>
      </w:pPr>
      <w:r>
        <w:t>Para</w:t>
      </w:r>
      <w:r>
        <w:rPr>
          <w:spacing w:val="-3"/>
        </w:rPr>
        <w:t xml:space="preserve"> </w:t>
      </w:r>
      <w:r>
        <w:t>mais</w:t>
      </w:r>
      <w:r>
        <w:rPr>
          <w:spacing w:val="-3"/>
        </w:rPr>
        <w:t xml:space="preserve"> </w:t>
      </w:r>
      <w:r>
        <w:rPr>
          <w:spacing w:val="-2"/>
        </w:rPr>
        <w:t>informações:</w:t>
      </w:r>
    </w:p>
    <w:p w:rsidR="00757582" w:rsidRDefault="00000000" w14:paraId="3C1D2B4F" w14:textId="77777777">
      <w:pPr>
        <w:spacing w:before="240"/>
        <w:ind w:left="23"/>
      </w:pPr>
      <w:r>
        <w:rPr>
          <w:b/>
        </w:rPr>
        <w:t>LLYC</w:t>
      </w:r>
      <w:r>
        <w:rPr>
          <w:b/>
          <w:spacing w:val="-4"/>
        </w:rPr>
        <w:t xml:space="preserve"> </w:t>
      </w:r>
      <w:r>
        <w:t>|</w:t>
      </w:r>
      <w:r>
        <w:rPr>
          <w:spacing w:val="-3"/>
        </w:rPr>
        <w:t xml:space="preserve"> </w:t>
      </w:r>
      <w:r>
        <w:t>+351</w:t>
      </w:r>
      <w:r>
        <w:rPr>
          <w:spacing w:val="-1"/>
        </w:rPr>
        <w:t xml:space="preserve"> </w:t>
      </w:r>
      <w:r>
        <w:t>219</w:t>
      </w:r>
      <w:r>
        <w:rPr>
          <w:spacing w:val="-4"/>
        </w:rPr>
        <w:t xml:space="preserve"> </w:t>
      </w:r>
      <w:r>
        <w:t>239</w:t>
      </w:r>
      <w:r>
        <w:rPr>
          <w:spacing w:val="-2"/>
        </w:rPr>
        <w:t xml:space="preserve"> </w:t>
      </w:r>
      <w:r>
        <w:rPr>
          <w:spacing w:val="-5"/>
        </w:rPr>
        <w:t>700</w:t>
      </w:r>
    </w:p>
    <w:p w:rsidR="00757582" w:rsidRDefault="00000000" w14:paraId="4613536F" w14:textId="77777777">
      <w:pPr>
        <w:pStyle w:val="Corpodetexto"/>
        <w:spacing w:before="241"/>
      </w:pPr>
      <w:r>
        <w:t>Ana</w:t>
      </w:r>
      <w:r>
        <w:rPr>
          <w:spacing w:val="-6"/>
        </w:rPr>
        <w:t xml:space="preserve"> </w:t>
      </w:r>
      <w:r>
        <w:t>Laranjeiro</w:t>
      </w:r>
      <w:r>
        <w:rPr>
          <w:spacing w:val="-4"/>
        </w:rPr>
        <w:t xml:space="preserve"> </w:t>
      </w:r>
      <w:r>
        <w:t>|</w:t>
      </w:r>
      <w:r>
        <w:rPr>
          <w:spacing w:val="-4"/>
        </w:rPr>
        <w:t xml:space="preserve"> </w:t>
      </w:r>
      <w:hyperlink r:id="rId7">
        <w:r w:rsidR="00757582">
          <w:t>alaranjeiro@llyc.global</w:t>
        </w:r>
      </w:hyperlink>
      <w:r>
        <w:rPr>
          <w:spacing w:val="-6"/>
        </w:rPr>
        <w:t xml:space="preserve"> </w:t>
      </w:r>
      <w:r>
        <w:t>|+351</w:t>
      </w:r>
      <w:r>
        <w:rPr>
          <w:spacing w:val="-5"/>
        </w:rPr>
        <w:t xml:space="preserve"> </w:t>
      </w:r>
      <w:r>
        <w:t>919</w:t>
      </w:r>
      <w:r>
        <w:rPr>
          <w:spacing w:val="-7"/>
        </w:rPr>
        <w:t xml:space="preserve"> </w:t>
      </w:r>
      <w:r>
        <w:t>669</w:t>
      </w:r>
      <w:r>
        <w:rPr>
          <w:spacing w:val="-3"/>
        </w:rPr>
        <w:t xml:space="preserve"> </w:t>
      </w:r>
      <w:r>
        <w:rPr>
          <w:spacing w:val="-5"/>
        </w:rPr>
        <w:t>400</w:t>
      </w:r>
    </w:p>
    <w:p w:rsidR="00757582" w:rsidRDefault="00000000" w14:paraId="6E74AC14" w14:textId="77777777">
      <w:pPr>
        <w:pStyle w:val="Corpodetexto"/>
        <w:spacing w:before="240"/>
      </w:pPr>
      <w:r>
        <w:t>Duarte</w:t>
      </w:r>
      <w:r>
        <w:rPr>
          <w:spacing w:val="-7"/>
        </w:rPr>
        <w:t xml:space="preserve"> </w:t>
      </w:r>
      <w:r>
        <w:t>Amaro</w:t>
      </w:r>
      <w:r>
        <w:rPr>
          <w:spacing w:val="-3"/>
        </w:rPr>
        <w:t xml:space="preserve"> </w:t>
      </w:r>
      <w:r>
        <w:t>|</w:t>
      </w:r>
      <w:r>
        <w:rPr>
          <w:spacing w:val="-4"/>
        </w:rPr>
        <w:t xml:space="preserve"> </w:t>
      </w:r>
      <w:hyperlink r:id="rId8">
        <w:r w:rsidR="00757582">
          <w:t>duarte.amaro@llyc.global</w:t>
        </w:r>
      </w:hyperlink>
      <w:r>
        <w:rPr>
          <w:spacing w:val="-5"/>
        </w:rPr>
        <w:t xml:space="preserve"> </w:t>
      </w:r>
      <w:r>
        <w:t>|+351</w:t>
      </w:r>
      <w:r>
        <w:rPr>
          <w:spacing w:val="-5"/>
        </w:rPr>
        <w:t xml:space="preserve"> </w:t>
      </w:r>
      <w:r>
        <w:t>938</w:t>
      </w:r>
      <w:r>
        <w:rPr>
          <w:spacing w:val="-5"/>
        </w:rPr>
        <w:t xml:space="preserve"> </w:t>
      </w:r>
      <w:r>
        <w:t>464</w:t>
      </w:r>
      <w:r>
        <w:rPr>
          <w:spacing w:val="-4"/>
        </w:rPr>
        <w:t xml:space="preserve"> </w:t>
      </w:r>
      <w:r>
        <w:rPr>
          <w:spacing w:val="-5"/>
        </w:rPr>
        <w:t>314</w:t>
      </w:r>
    </w:p>
    <w:p w:rsidR="00757582" w:rsidRDefault="00000000" w14:paraId="0CFA648B" w14:textId="77777777">
      <w:pPr>
        <w:pStyle w:val="Corpodetexto"/>
        <w:spacing w:before="240"/>
      </w:pPr>
      <w:r>
        <w:t>Luísa</w:t>
      </w:r>
      <w:r>
        <w:rPr>
          <w:spacing w:val="-5"/>
        </w:rPr>
        <w:t xml:space="preserve"> </w:t>
      </w:r>
      <w:r>
        <w:t>Barrancos|</w:t>
      </w:r>
      <w:r>
        <w:rPr>
          <w:spacing w:val="-6"/>
        </w:rPr>
        <w:t xml:space="preserve"> </w:t>
      </w:r>
      <w:hyperlink r:id="rId9">
        <w:r w:rsidR="00757582">
          <w:t>luisa.barrancos@llyc.global</w:t>
        </w:r>
      </w:hyperlink>
      <w:r>
        <w:rPr>
          <w:spacing w:val="-4"/>
        </w:rPr>
        <w:t xml:space="preserve"> </w:t>
      </w:r>
      <w:r>
        <w:t>|</w:t>
      </w:r>
      <w:r>
        <w:rPr>
          <w:spacing w:val="-7"/>
        </w:rPr>
        <w:t xml:space="preserve"> </w:t>
      </w:r>
      <w:r>
        <w:t>+351</w:t>
      </w:r>
      <w:r>
        <w:rPr>
          <w:spacing w:val="-6"/>
        </w:rPr>
        <w:t xml:space="preserve"> </w:t>
      </w:r>
      <w:r>
        <w:t>913</w:t>
      </w:r>
      <w:r>
        <w:rPr>
          <w:spacing w:val="-6"/>
        </w:rPr>
        <w:t xml:space="preserve"> </w:t>
      </w:r>
      <w:r>
        <w:t>429</w:t>
      </w:r>
      <w:r>
        <w:rPr>
          <w:spacing w:val="-6"/>
        </w:rPr>
        <w:t xml:space="preserve"> </w:t>
      </w:r>
      <w:r>
        <w:rPr>
          <w:spacing w:val="-5"/>
        </w:rPr>
        <w:t>649</w:t>
      </w:r>
    </w:p>
    <w:sectPr w:rsidR="00757582">
      <w:headerReference w:type="default" r:id="rId10"/>
      <w:pgSz w:w="11910" w:h="16840" w:orient="portrait"/>
      <w:pgMar w:top="1820" w:right="1417" w:bottom="280" w:left="1417" w:header="10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7A8" w:rsidRDefault="001F57A8" w14:paraId="2DAFBB33" w14:textId="77777777">
      <w:r>
        <w:separator/>
      </w:r>
    </w:p>
  </w:endnote>
  <w:endnote w:type="continuationSeparator" w:id="0">
    <w:p w:rsidR="001F57A8" w:rsidRDefault="001F57A8" w14:paraId="1BF92F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7A8" w:rsidRDefault="001F57A8" w14:paraId="1376B549" w14:textId="77777777">
      <w:r>
        <w:separator/>
      </w:r>
    </w:p>
  </w:footnote>
  <w:footnote w:type="continuationSeparator" w:id="0">
    <w:p w:rsidR="001F57A8" w:rsidRDefault="001F57A8" w14:paraId="6D8268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57582" w:rsidRDefault="00000000" w14:paraId="50884173" w14:textId="77777777">
    <w:pPr>
      <w:pStyle w:val="Corpodetexto"/>
      <w:spacing w:before="0" w:line="14" w:lineRule="auto"/>
      <w:ind w:left="0"/>
      <w:rPr>
        <w:sz w:val="20"/>
      </w:rPr>
    </w:pPr>
    <w:r>
      <w:rPr>
        <w:noProof/>
        <w:sz w:val="20"/>
      </w:rPr>
      <w:drawing>
        <wp:anchor distT="0" distB="0" distL="0" distR="0" simplePos="0" relativeHeight="487555072" behindDoc="1" locked="0" layoutInCell="1" allowOverlap="1" wp14:anchorId="4D21A9AC" wp14:editId="1F7717AF">
          <wp:simplePos x="0" y="0"/>
          <wp:positionH relativeFrom="page">
            <wp:posOffset>5007945</wp:posOffset>
          </wp:positionH>
          <wp:positionV relativeFrom="page">
            <wp:posOffset>638238</wp:posOffset>
          </wp:positionV>
          <wp:extent cx="1450938" cy="201726"/>
          <wp:effectExtent l="0" t="0" r="0" b="0"/>
          <wp:wrapNone/>
          <wp:docPr id="15437374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0938" cy="2017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9B5"/>
    <w:multiLevelType w:val="hybridMultilevel"/>
    <w:tmpl w:val="B16E64E8"/>
    <w:lvl w:ilvl="0" w:tplc="BE2ADB56">
      <w:numFmt w:val="bullet"/>
      <w:lvlText w:val=""/>
      <w:lvlJc w:val="left"/>
      <w:pPr>
        <w:ind w:left="743" w:hanging="360"/>
      </w:pPr>
      <w:rPr>
        <w:rFonts w:hint="default" w:ascii="Symbol" w:hAnsi="Symbol" w:eastAsia="Symbol" w:cs="Symbol"/>
        <w:b w:val="0"/>
        <w:bCs w:val="0"/>
        <w:i w:val="0"/>
        <w:iCs w:val="0"/>
        <w:spacing w:val="0"/>
        <w:w w:val="100"/>
        <w:sz w:val="22"/>
        <w:szCs w:val="22"/>
        <w:lang w:val="pt-PT" w:eastAsia="en-US" w:bidi="ar-SA"/>
      </w:rPr>
    </w:lvl>
    <w:lvl w:ilvl="1" w:tplc="F2B8402E">
      <w:numFmt w:val="bullet"/>
      <w:lvlText w:val="•"/>
      <w:lvlJc w:val="left"/>
      <w:pPr>
        <w:ind w:left="1573" w:hanging="360"/>
      </w:pPr>
      <w:rPr>
        <w:rFonts w:hint="default"/>
        <w:lang w:val="pt-PT" w:eastAsia="en-US" w:bidi="ar-SA"/>
      </w:rPr>
    </w:lvl>
    <w:lvl w:ilvl="2" w:tplc="915280C8">
      <w:numFmt w:val="bullet"/>
      <w:lvlText w:val="•"/>
      <w:lvlJc w:val="left"/>
      <w:pPr>
        <w:ind w:left="2406" w:hanging="360"/>
      </w:pPr>
      <w:rPr>
        <w:rFonts w:hint="default"/>
        <w:lang w:val="pt-PT" w:eastAsia="en-US" w:bidi="ar-SA"/>
      </w:rPr>
    </w:lvl>
    <w:lvl w:ilvl="3" w:tplc="0B4EF256">
      <w:numFmt w:val="bullet"/>
      <w:lvlText w:val="•"/>
      <w:lvlJc w:val="left"/>
      <w:pPr>
        <w:ind w:left="3239" w:hanging="360"/>
      </w:pPr>
      <w:rPr>
        <w:rFonts w:hint="default"/>
        <w:lang w:val="pt-PT" w:eastAsia="en-US" w:bidi="ar-SA"/>
      </w:rPr>
    </w:lvl>
    <w:lvl w:ilvl="4" w:tplc="8462370C">
      <w:numFmt w:val="bullet"/>
      <w:lvlText w:val="•"/>
      <w:lvlJc w:val="left"/>
      <w:pPr>
        <w:ind w:left="4072" w:hanging="360"/>
      </w:pPr>
      <w:rPr>
        <w:rFonts w:hint="default"/>
        <w:lang w:val="pt-PT" w:eastAsia="en-US" w:bidi="ar-SA"/>
      </w:rPr>
    </w:lvl>
    <w:lvl w:ilvl="5" w:tplc="23B897BC">
      <w:numFmt w:val="bullet"/>
      <w:lvlText w:val="•"/>
      <w:lvlJc w:val="left"/>
      <w:pPr>
        <w:ind w:left="4906" w:hanging="360"/>
      </w:pPr>
      <w:rPr>
        <w:rFonts w:hint="default"/>
        <w:lang w:val="pt-PT" w:eastAsia="en-US" w:bidi="ar-SA"/>
      </w:rPr>
    </w:lvl>
    <w:lvl w:ilvl="6" w:tplc="9D9036AC">
      <w:numFmt w:val="bullet"/>
      <w:lvlText w:val="•"/>
      <w:lvlJc w:val="left"/>
      <w:pPr>
        <w:ind w:left="5739" w:hanging="360"/>
      </w:pPr>
      <w:rPr>
        <w:rFonts w:hint="default"/>
        <w:lang w:val="pt-PT" w:eastAsia="en-US" w:bidi="ar-SA"/>
      </w:rPr>
    </w:lvl>
    <w:lvl w:ilvl="7" w:tplc="AC20B340">
      <w:numFmt w:val="bullet"/>
      <w:lvlText w:val="•"/>
      <w:lvlJc w:val="left"/>
      <w:pPr>
        <w:ind w:left="6572" w:hanging="360"/>
      </w:pPr>
      <w:rPr>
        <w:rFonts w:hint="default"/>
        <w:lang w:val="pt-PT" w:eastAsia="en-US" w:bidi="ar-SA"/>
      </w:rPr>
    </w:lvl>
    <w:lvl w:ilvl="8" w:tplc="419E9C30">
      <w:numFmt w:val="bullet"/>
      <w:lvlText w:val="•"/>
      <w:lvlJc w:val="left"/>
      <w:pPr>
        <w:ind w:left="7405" w:hanging="360"/>
      </w:pPr>
      <w:rPr>
        <w:rFonts w:hint="default"/>
        <w:lang w:val="pt-PT" w:eastAsia="en-US" w:bidi="ar-SA"/>
      </w:rPr>
    </w:lvl>
  </w:abstractNum>
  <w:num w:numId="1" w16cid:durableId="68081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82"/>
    <w:rsid w:val="00000000"/>
    <w:rsid w:val="00044596"/>
    <w:rsid w:val="000F3BB4"/>
    <w:rsid w:val="00130F8E"/>
    <w:rsid w:val="001958E1"/>
    <w:rsid w:val="001F4982"/>
    <w:rsid w:val="001F57A8"/>
    <w:rsid w:val="002144CB"/>
    <w:rsid w:val="0022527E"/>
    <w:rsid w:val="002521C5"/>
    <w:rsid w:val="002765AE"/>
    <w:rsid w:val="003070A5"/>
    <w:rsid w:val="0032119B"/>
    <w:rsid w:val="00351B7A"/>
    <w:rsid w:val="003F33EE"/>
    <w:rsid w:val="00426C0D"/>
    <w:rsid w:val="00611ED7"/>
    <w:rsid w:val="00622C44"/>
    <w:rsid w:val="006376AF"/>
    <w:rsid w:val="006458A0"/>
    <w:rsid w:val="00714154"/>
    <w:rsid w:val="00717174"/>
    <w:rsid w:val="00757582"/>
    <w:rsid w:val="00765404"/>
    <w:rsid w:val="0079673A"/>
    <w:rsid w:val="007A2ABB"/>
    <w:rsid w:val="007A74A4"/>
    <w:rsid w:val="008A0F59"/>
    <w:rsid w:val="008A3265"/>
    <w:rsid w:val="008A5799"/>
    <w:rsid w:val="008C7E0B"/>
    <w:rsid w:val="0093292C"/>
    <w:rsid w:val="00933416"/>
    <w:rsid w:val="00990972"/>
    <w:rsid w:val="00A70A57"/>
    <w:rsid w:val="00A745EF"/>
    <w:rsid w:val="00AA6185"/>
    <w:rsid w:val="00AF5387"/>
    <w:rsid w:val="00B23472"/>
    <w:rsid w:val="00B25D2D"/>
    <w:rsid w:val="00B47D1D"/>
    <w:rsid w:val="00B52CD5"/>
    <w:rsid w:val="00C0107A"/>
    <w:rsid w:val="00C072C6"/>
    <w:rsid w:val="00CA0177"/>
    <w:rsid w:val="00CC326F"/>
    <w:rsid w:val="00CF51F8"/>
    <w:rsid w:val="00D03EC1"/>
    <w:rsid w:val="00D12D11"/>
    <w:rsid w:val="00D2039D"/>
    <w:rsid w:val="00D32ED9"/>
    <w:rsid w:val="00D35BF0"/>
    <w:rsid w:val="00D5060A"/>
    <w:rsid w:val="00D53416"/>
    <w:rsid w:val="00E050DB"/>
    <w:rsid w:val="00E53FE9"/>
    <w:rsid w:val="00EA1B2F"/>
    <w:rsid w:val="00EB4503"/>
    <w:rsid w:val="00F04063"/>
    <w:rsid w:val="00F07654"/>
    <w:rsid w:val="00F12FC9"/>
    <w:rsid w:val="00F2056E"/>
    <w:rsid w:val="00F847DA"/>
    <w:rsid w:val="00F92A04"/>
    <w:rsid w:val="0F5EEB97"/>
    <w:rsid w:val="1B1A98CB"/>
    <w:rsid w:val="1ECF326D"/>
    <w:rsid w:val="2EBACA8B"/>
    <w:rsid w:val="50144137"/>
    <w:rsid w:val="54DD9C65"/>
    <w:rsid w:val="58EA584E"/>
    <w:rsid w:val="5C26FB77"/>
    <w:rsid w:val="678ED074"/>
    <w:rsid w:val="7233BC08"/>
    <w:rsid w:val="73201C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5942"/>
  <w15:docId w15:val="{6C75F07F-D76E-4584-AC05-3993D9F2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BF0"/>
    <w:rPr>
      <w:rFonts w:ascii="Calibri" w:hAnsi="Calibri" w:eastAsia="Calibri" w:cs="Calibri"/>
      <w:lang w:val="pt-PT"/>
    </w:rPr>
  </w:style>
  <w:style w:type="paragraph" w:styleId="Ttulo1">
    <w:name w:val="heading 1"/>
    <w:basedOn w:val="Normal"/>
    <w:uiPriority w:val="9"/>
    <w:qFormat/>
    <w:pPr>
      <w:ind w:left="23"/>
      <w:jc w:val="both"/>
      <w:outlineLvl w:val="0"/>
    </w:pPr>
    <w:rPr>
      <w:b/>
      <w:bCs/>
    </w:r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00"/>
      <w:ind w:left="23"/>
    </w:pPr>
  </w:style>
  <w:style w:type="paragraph" w:styleId="Ttulo">
    <w:name w:val="Title"/>
    <w:basedOn w:val="Normal"/>
    <w:uiPriority w:val="10"/>
    <w:qFormat/>
    <w:pPr>
      <w:ind w:left="318" w:firstLine="14"/>
    </w:pPr>
    <w:rPr>
      <w:b/>
      <w:bCs/>
      <w:sz w:val="36"/>
      <w:szCs w:val="36"/>
    </w:rPr>
  </w:style>
  <w:style w:type="paragraph" w:styleId="PargrafodaLista">
    <w:name w:val="List Paragraph"/>
    <w:basedOn w:val="Normal"/>
    <w:uiPriority w:val="1"/>
    <w:qFormat/>
    <w:pPr>
      <w:ind w:left="743" w:right="18" w:hanging="360"/>
      <w:jc w:val="both"/>
    </w:pPr>
  </w:style>
  <w:style w:type="paragraph" w:styleId="TableParagraph" w:customStyle="1">
    <w:name w:val="Table Paragraph"/>
    <w:basedOn w:val="Normal"/>
    <w:uiPriority w:val="1"/>
    <w:qFormat/>
  </w:style>
  <w:style w:type="paragraph" w:styleId="NormalWeb">
    <w:name w:val="Normal (Web)"/>
    <w:basedOn w:val="Normal"/>
    <w:uiPriority w:val="99"/>
    <w:semiHidden/>
    <w:unhideWhenUsed/>
    <w:rsid w:val="00B47D1D"/>
    <w:rPr>
      <w:rFonts w:ascii="Times New Roman" w:hAnsi="Times New Roman" w:cs="Times New Roman"/>
      <w:sz w:val="24"/>
      <w:szCs w:val="24"/>
    </w:rPr>
  </w:style>
  <w:style w:type="character" w:styleId="Refdecomentrio">
    <w:name w:val="annotation reference"/>
    <w:basedOn w:val="Tipodeletrapredefinidodopargrafo"/>
    <w:uiPriority w:val="99"/>
    <w:semiHidden/>
    <w:unhideWhenUsed/>
    <w:rsid w:val="001958E1"/>
    <w:rPr>
      <w:sz w:val="16"/>
      <w:szCs w:val="16"/>
    </w:rPr>
  </w:style>
  <w:style w:type="paragraph" w:styleId="Textodecomentrio">
    <w:name w:val="annotation text"/>
    <w:basedOn w:val="Normal"/>
    <w:link w:val="TextodecomentrioCarter"/>
    <w:uiPriority w:val="99"/>
    <w:unhideWhenUsed/>
    <w:rsid w:val="001958E1"/>
    <w:rPr>
      <w:sz w:val="20"/>
      <w:szCs w:val="20"/>
    </w:rPr>
  </w:style>
  <w:style w:type="character" w:styleId="TextodecomentrioCarter" w:customStyle="1">
    <w:name w:val="Texto de comentário Caráter"/>
    <w:basedOn w:val="Tipodeletrapredefinidodopargrafo"/>
    <w:link w:val="Textodecomentrio"/>
    <w:uiPriority w:val="99"/>
    <w:rsid w:val="001958E1"/>
    <w:rPr>
      <w:rFonts w:ascii="Calibri" w:hAnsi="Calibri" w:eastAsia="Calibri" w:cs="Calibri"/>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1958E1"/>
    <w:rPr>
      <w:b/>
      <w:bCs/>
    </w:rPr>
  </w:style>
  <w:style w:type="character" w:styleId="AssuntodecomentrioCarter" w:customStyle="1">
    <w:name w:val="Assunto de comentário Caráter"/>
    <w:basedOn w:val="TextodecomentrioCarter"/>
    <w:link w:val="Assuntodecomentrio"/>
    <w:uiPriority w:val="99"/>
    <w:semiHidden/>
    <w:rsid w:val="001958E1"/>
    <w:rPr>
      <w:rFonts w:ascii="Calibri" w:hAnsi="Calibri" w:eastAsia="Calibri" w:cs="Calibri"/>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duarte.amaro@llyc.global"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alaranjeiro@llyc.globa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luisa.barrancos@llyc.global" TargetMode="Externa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5A019FAC2A19469EC1E0FAA1340FC2" ma:contentTypeVersion="19" ma:contentTypeDescription="Criar um novo documento." ma:contentTypeScope="" ma:versionID="85557ebadf90933137f2f8d107a270e2">
  <xsd:schema xmlns:xsd="http://www.w3.org/2001/XMLSchema" xmlns:xs="http://www.w3.org/2001/XMLSchema" xmlns:p="http://schemas.microsoft.com/office/2006/metadata/properties" xmlns:ns2="7c649be3-88c8-495f-871f-bbf24b8fbf2c" xmlns:ns3="3199b160-1fb0-477a-974d-ee9b65605611" targetNamespace="http://schemas.microsoft.com/office/2006/metadata/properties" ma:root="true" ma:fieldsID="bb0978ca281b28943eb8f697b2d82ae9" ns2:_="" ns3:_="">
    <xsd:import namespace="7c649be3-88c8-495f-871f-bbf24b8fbf2c"/>
    <xsd:import namespace="3199b160-1fb0-477a-974d-ee9b656056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49be3-88c8-495f-871f-bbf24b8fb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0cc93af-d533-4224-b5de-dcf2cdc011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9b160-1fb0-477a-974d-ee9b65605611"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c2696881-e2bf-4beb-9145-a2d462ffb5ea}" ma:internalName="TaxCatchAll" ma:showField="CatchAllData" ma:web="3199b160-1fb0-477a-974d-ee9b65605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49be3-88c8-495f-871f-bbf24b8fbf2c">
      <Terms xmlns="http://schemas.microsoft.com/office/infopath/2007/PartnerControls"/>
    </lcf76f155ced4ddcb4097134ff3c332f>
    <TaxCatchAll xmlns="3199b160-1fb0-477a-974d-ee9b65605611" xsi:nil="true"/>
  </documentManagement>
</p:properties>
</file>

<file path=customXml/itemProps1.xml><?xml version="1.0" encoding="utf-8"?>
<ds:datastoreItem xmlns:ds="http://schemas.openxmlformats.org/officeDocument/2006/customXml" ds:itemID="{C265CC9D-96D3-4D6B-B38B-8C1C3CD42BA8}"/>
</file>

<file path=customXml/itemProps2.xml><?xml version="1.0" encoding="utf-8"?>
<ds:datastoreItem xmlns:ds="http://schemas.openxmlformats.org/officeDocument/2006/customXml" ds:itemID="{53E4B3C4-3D54-4D2A-8BBA-DBC39CCF7E07}"/>
</file>

<file path=customXml/itemProps3.xml><?xml version="1.0" encoding="utf-8"?>
<ds:datastoreItem xmlns:ds="http://schemas.openxmlformats.org/officeDocument/2006/customXml" ds:itemID="{AB17CC1A-90C7-4AF4-9637-599FA8F9EC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Rodrigues</dc:creator>
  <cp:lastModifiedBy>Margarida Lopes da Silva</cp:lastModifiedBy>
  <cp:revision>26</cp:revision>
  <dcterms:created xsi:type="dcterms:W3CDTF">2025-09-03T10:43:00Z</dcterms:created>
  <dcterms:modified xsi:type="dcterms:W3CDTF">2026-04-29T11:00:52Z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para Microsoft 365</vt:lpwstr>
  </property>
  <property fmtid="{D5CDD505-2E9C-101B-9397-08002B2CF9AE}" pid="4" name="LastSaved">
    <vt:filetime>2025-09-03T00:00:00Z</vt:filetime>
  </property>
  <property fmtid="{D5CDD505-2E9C-101B-9397-08002B2CF9AE}" pid="5" name="Producer">
    <vt:lpwstr>Microsoft® Word para Microsoft 365</vt:lpwstr>
  </property>
  <property fmtid="{D5CDD505-2E9C-101B-9397-08002B2CF9AE}" pid="6" name="ContentTypeId">
    <vt:lpwstr>0x0101007A5A019FAC2A19469EC1E0FAA1340FC2</vt:lpwstr>
  </property>
  <property fmtid="{D5CDD505-2E9C-101B-9397-08002B2CF9AE}" pid="7" name="MediaServiceImageTags">
    <vt:lpwstr/>
  </property>
  <property fmtid="{D5CDD505-2E9C-101B-9397-08002B2CF9AE}" pid="9" name="docLang">
    <vt:lpwstr>pt</vt:lpwstr>
  </property>
</Properties>
</file>